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FF" w:rsidRDefault="00A34BFF">
      <w:bookmarkStart w:id="0" w:name="_GoBack"/>
      <w:bookmarkEnd w:id="0"/>
    </w:p>
    <w:p w:rsidR="00A34BFF" w:rsidRDefault="00A34BFF"/>
    <w:p w:rsidR="00A34BFF" w:rsidRDefault="00A34BFF"/>
    <w:p w:rsidR="00A34BFF" w:rsidRPr="00A34BFF" w:rsidRDefault="00A34BFF" w:rsidP="00A34BFF">
      <w:pPr>
        <w:rPr>
          <w:b/>
          <w:bCs/>
        </w:rPr>
      </w:pPr>
      <w:r w:rsidRPr="00A34BFF">
        <w:rPr>
          <w:b/>
          <w:bCs/>
        </w:rPr>
        <w:t>I. Члены УПОВ</w:t>
      </w:r>
    </w:p>
    <w:p w:rsidR="00A34BFF" w:rsidRPr="00A34BFF" w:rsidRDefault="00A34BFF" w:rsidP="00A34BFF">
      <w:pPr>
        <w:sectPr w:rsidR="00A34BFF" w:rsidRPr="00A34BFF" w:rsidSect="00A34BFF">
          <w:pgSz w:w="15840" w:h="12240" w:orient="landscape"/>
          <w:pgMar w:top="1287" w:right="737" w:bottom="1293" w:left="459" w:header="34" w:footer="397" w:gutter="0"/>
          <w:pgNumType w:start="1"/>
          <w:cols w:space="720"/>
          <w:docGrid w:linePitch="299"/>
        </w:sectPr>
      </w:pPr>
    </w:p>
    <w:p w:rsidR="00A34BFF" w:rsidRPr="00A34BFF" w:rsidRDefault="00A34BFF" w:rsidP="00A34BFF">
      <w:r w:rsidRPr="00A34BFF">
        <w:lastRenderedPageBreak/>
        <w:t>Австралия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Австрия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Азербайджан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Албания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Аргентина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Африканская организация интеллектуальной собственности</w:t>
      </w:r>
      <w:proofErr w:type="gramStart"/>
      <w:r w:rsidRPr="00A34BFF">
        <w:rPr>
          <w:vertAlign w:val="superscript"/>
        </w:rPr>
        <w:t>2</w:t>
      </w:r>
      <w:proofErr w:type="gramEnd"/>
      <w:r w:rsidRPr="00A34BFF">
        <w:rPr>
          <w:vertAlign w:val="superscript"/>
        </w:rPr>
        <w:t>, 4</w:t>
      </w:r>
    </w:p>
    <w:p w:rsidR="00A34BFF" w:rsidRPr="00A34BFF" w:rsidRDefault="00A34BFF" w:rsidP="00A34BFF">
      <w:r w:rsidRPr="00A34BFF">
        <w:t>Беларусь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Бельгия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Болгария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Боливия (Многонациональное государство)</w:t>
      </w:r>
      <w:r w:rsidRPr="00A34BFF">
        <w:rPr>
          <w:vertAlign w:val="superscript"/>
        </w:rPr>
        <w:t>1</w:t>
      </w:r>
    </w:p>
    <w:p w:rsidR="00A34BFF" w:rsidRPr="00A34BFF" w:rsidRDefault="00A34BFF" w:rsidP="00A34BFF">
      <w:r w:rsidRPr="00A34BFF">
        <w:t>Босния и Герцеговина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Бразилия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Венгрия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Вьетнам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Германия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Грузия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Дания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lastRenderedPageBreak/>
        <w:t>Доминиканская Республика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Европейский Союз</w:t>
      </w:r>
      <w:proofErr w:type="gramStart"/>
      <w:r w:rsidRPr="00A34BFF">
        <w:rPr>
          <w:vertAlign w:val="superscript"/>
        </w:rPr>
        <w:t>2</w:t>
      </w:r>
      <w:proofErr w:type="gramEnd"/>
      <w:r w:rsidRPr="00A34BFF">
        <w:rPr>
          <w:vertAlign w:val="superscript"/>
        </w:rPr>
        <w:t>, 3</w:t>
      </w:r>
    </w:p>
    <w:p w:rsidR="00A34BFF" w:rsidRPr="00A34BFF" w:rsidRDefault="00A34BFF" w:rsidP="00A34BFF">
      <w:r w:rsidRPr="00A34BFF">
        <w:t>Египет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Израиль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Иордания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Ирландия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Исландия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Испания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Италия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Канада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Кения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Киргизстан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Китай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Колумбия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Коста-Рика</w:t>
      </w:r>
      <w:r w:rsidRPr="00A34BFF">
        <w:rPr>
          <w:vertAlign w:val="superscript"/>
        </w:rPr>
        <w:t>2</w:t>
      </w:r>
    </w:p>
    <w:p w:rsidR="00A34BFF" w:rsidRPr="00A34BFF" w:rsidRDefault="00A34BFF" w:rsidP="00A34BFF">
      <w:r w:rsidRPr="00A34BFF">
        <w:t>Латвия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Литва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Марокко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Мексика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lastRenderedPageBreak/>
        <w:t>Нидерланды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Никарагуа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Новая Зеландия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Норвегия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Объединенная республика Танзания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Оман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Панама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Парагвай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Перу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Польша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Португалия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Республика Корея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Республика Молдова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Российская Федерация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Румыния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Северная Македония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Сербия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Сингапур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lastRenderedPageBreak/>
        <w:t>Словакия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Словения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Соединенное Королевство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Соединенные Штаты Америки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Тринидад и Тобаго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Тунис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Турция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Узбекистан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Украина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Уругвай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Финляндия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Франция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Хорватия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Черногория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Чешская Республика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Чили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Швейцария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Швеция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lastRenderedPageBreak/>
        <w:t>Эквадорr</w:t>
      </w:r>
      <w:r w:rsidRPr="00A34BFF">
        <w:rPr>
          <w:vertAlign w:val="superscript"/>
        </w:rPr>
        <w:t>1</w:t>
      </w:r>
    </w:p>
    <w:p w:rsidR="00A34BFF" w:rsidRPr="00A34BFF" w:rsidRDefault="00A34BFF" w:rsidP="00A34BFF">
      <w:r w:rsidRPr="00A34BFF">
        <w:t>Эстония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>
      <w:r w:rsidRPr="00A34BFF">
        <w:t>Южная Африка</w:t>
      </w:r>
      <w:proofErr w:type="gramStart"/>
      <w:r w:rsidRPr="00A34BFF">
        <w:rPr>
          <w:vertAlign w:val="superscript"/>
        </w:rPr>
        <w:t>1</w:t>
      </w:r>
      <w:proofErr w:type="gramEnd"/>
    </w:p>
    <w:p w:rsidR="00A34BFF" w:rsidRPr="00A34BFF" w:rsidRDefault="00A34BFF" w:rsidP="00A34BFF">
      <w:r w:rsidRPr="00A34BFF">
        <w:t>Япония</w:t>
      </w:r>
      <w:proofErr w:type="gramStart"/>
      <w:r w:rsidRPr="00A34BFF">
        <w:rPr>
          <w:vertAlign w:val="superscript"/>
        </w:rPr>
        <w:t>2</w:t>
      </w:r>
      <w:proofErr w:type="gramEnd"/>
    </w:p>
    <w:p w:rsidR="00A34BFF" w:rsidRPr="00A34BFF" w:rsidRDefault="00A34BFF" w:rsidP="00A34BFF"/>
    <w:p w:rsidR="00A34BFF" w:rsidRPr="00A34BFF" w:rsidRDefault="00A34BFF" w:rsidP="00A34BFF"/>
    <w:p w:rsidR="00A34BFF" w:rsidRPr="00A34BFF" w:rsidRDefault="00A34BFF" w:rsidP="00A34BFF"/>
    <w:p w:rsidR="00A34BFF" w:rsidRPr="00A34BFF" w:rsidRDefault="00A34BFF" w:rsidP="00A34BFF">
      <w:r w:rsidRPr="00A34BFF">
        <w:t>(</w:t>
      </w:r>
      <w:r w:rsidRPr="00A34BFF">
        <w:rPr>
          <w:b/>
        </w:rPr>
        <w:t>Всего: 76</w:t>
      </w:r>
      <w:r w:rsidRPr="00A34BFF">
        <w:t>)</w:t>
      </w:r>
    </w:p>
    <w:p w:rsidR="00A34BFF" w:rsidRPr="00A34BFF" w:rsidRDefault="00A34BFF" w:rsidP="00A34BFF">
      <w:pPr>
        <w:rPr>
          <w:lang w:bidi="en-US"/>
        </w:rPr>
        <w:sectPr w:rsidR="00A34BFF" w:rsidRPr="00A34BFF" w:rsidSect="00A34BFF">
          <w:pgSz w:w="15840" w:h="12240" w:orient="landscape"/>
          <w:pgMar w:top="1286" w:right="823" w:bottom="1291" w:left="461" w:header="33" w:footer="395" w:gutter="0"/>
          <w:pgNumType w:start="1"/>
          <w:cols w:num="5" w:space="227"/>
          <w:docGrid w:linePitch="299"/>
        </w:sectPr>
      </w:pPr>
    </w:p>
    <w:p w:rsidR="00A34BFF" w:rsidRPr="00A34BFF" w:rsidRDefault="00A34BFF" w:rsidP="00A34BFF">
      <w:pPr>
        <w:rPr>
          <w:lang w:bidi="en-US"/>
        </w:rPr>
      </w:pPr>
    </w:p>
    <w:p w:rsidR="00A34BFF" w:rsidRPr="00A34BFF" w:rsidRDefault="00A34BFF" w:rsidP="00A34BFF">
      <w:pPr>
        <w:rPr>
          <w:bCs/>
          <w:u w:val="single"/>
        </w:rPr>
      </w:pPr>
      <w:r w:rsidRPr="00A34BFF">
        <w:rPr>
          <w:bCs/>
          <w:u w:val="single"/>
        </w:rPr>
        <w:tab/>
      </w:r>
      <w:r w:rsidRPr="00A34BFF">
        <w:rPr>
          <w:bCs/>
          <w:u w:val="single"/>
        </w:rPr>
        <w:tab/>
      </w:r>
      <w:r w:rsidRPr="00A34BFF">
        <w:rPr>
          <w:bCs/>
          <w:u w:val="single"/>
        </w:rPr>
        <w:tab/>
      </w:r>
    </w:p>
    <w:p w:rsidR="00A34BFF" w:rsidRPr="00A34BFF" w:rsidRDefault="00A34BFF" w:rsidP="00A34BFF">
      <w:pPr>
        <w:rPr>
          <w:bCs/>
        </w:rPr>
      </w:pPr>
      <w:r w:rsidRPr="00A34BFF">
        <w:rPr>
          <w:bCs/>
          <w:vertAlign w:val="superscript"/>
        </w:rPr>
        <w:t xml:space="preserve">1 </w:t>
      </w:r>
      <w:r w:rsidRPr="00A34BFF">
        <w:rPr>
          <w:bCs/>
        </w:rPr>
        <w:t xml:space="preserve"> Акт 1978 </w:t>
      </w:r>
      <w:proofErr w:type="spellStart"/>
      <w:r w:rsidRPr="00A34BFF">
        <w:rPr>
          <w:bCs/>
        </w:rPr>
        <w:t>г</w:t>
      </w:r>
      <w:proofErr w:type="gramStart"/>
      <w:r w:rsidRPr="00A34BFF">
        <w:rPr>
          <w:bCs/>
        </w:rPr>
        <w:t>.я</w:t>
      </w:r>
      <w:proofErr w:type="gramEnd"/>
      <w:r w:rsidRPr="00A34BFF">
        <w:rPr>
          <w:bCs/>
        </w:rPr>
        <w:t>вляется</w:t>
      </w:r>
      <w:proofErr w:type="spellEnd"/>
      <w:r w:rsidRPr="00A34BFF">
        <w:rPr>
          <w:bCs/>
        </w:rPr>
        <w:t xml:space="preserve"> последним Актом, которым связаны 17 государств.</w:t>
      </w:r>
    </w:p>
    <w:p w:rsidR="00A34BFF" w:rsidRPr="00A34BFF" w:rsidRDefault="00A34BFF" w:rsidP="00A34BFF">
      <w:pPr>
        <w:rPr>
          <w:bCs/>
        </w:rPr>
      </w:pPr>
      <w:r w:rsidRPr="00A34BFF">
        <w:rPr>
          <w:bCs/>
          <w:vertAlign w:val="superscript"/>
        </w:rPr>
        <w:t>2</w:t>
      </w:r>
      <w:r w:rsidRPr="00A34BFF">
        <w:rPr>
          <w:bCs/>
        </w:rPr>
        <w:t xml:space="preserve">  Акт 1991 г. является последним Актом, которым связаны 57 государств и 2 организации.</w:t>
      </w:r>
    </w:p>
    <w:p w:rsidR="00A34BFF" w:rsidRPr="00A34BFF" w:rsidRDefault="00A34BFF" w:rsidP="00A34BFF">
      <w:pPr>
        <w:rPr>
          <w:bCs/>
        </w:rPr>
      </w:pPr>
      <w:r w:rsidRPr="00A34BFF">
        <w:rPr>
          <w:bCs/>
          <w:vertAlign w:val="superscript"/>
        </w:rPr>
        <w:t>3</w:t>
      </w:r>
      <w:proofErr w:type="gramStart"/>
      <w:r w:rsidRPr="00A34BFF">
        <w:rPr>
          <w:bCs/>
        </w:rPr>
        <w:t xml:space="preserve">  Д</w:t>
      </w:r>
      <w:proofErr w:type="gramEnd"/>
      <w:r w:rsidRPr="00A34BFF">
        <w:rPr>
          <w:bCs/>
        </w:rPr>
        <w:t>ействует система прав селекционеров растений, которая охватывает территорию 27 государств-членов (Австрия, Бельгия, Болгария, Хорватия, Кипр, Чешская Республика, Дания, Эстония, Финляндия, Франция, Германия, Греция, Венгрия, Ирландия, Италия, Латвия, Литва, Люксембург, Мальта, Нидерланды, Польша, Португалия, Румыния, Словакия, Словения, Испания, Швеция) и до 31 декабря 2020 г. - Соединенное Королевство.</w:t>
      </w:r>
    </w:p>
    <w:p w:rsidR="00A34BFF" w:rsidRPr="00A34BFF" w:rsidRDefault="00A34BFF" w:rsidP="00A34BFF">
      <w:pPr>
        <w:rPr>
          <w:bCs/>
        </w:rPr>
      </w:pPr>
      <w:r w:rsidRPr="00A34BFF">
        <w:rPr>
          <w:bCs/>
          <w:vertAlign w:val="superscript"/>
        </w:rPr>
        <w:t>4</w:t>
      </w:r>
      <w:proofErr w:type="gramStart"/>
      <w:r w:rsidRPr="00A34BFF">
        <w:rPr>
          <w:bCs/>
        </w:rPr>
        <w:t xml:space="preserve">  Д</w:t>
      </w:r>
      <w:proofErr w:type="gramEnd"/>
      <w:r w:rsidRPr="00A34BFF">
        <w:rPr>
          <w:bCs/>
        </w:rPr>
        <w:t>ействует система охраны прав селекционеров растений, которая охватывает территорию 17 государств-членов (Бенин, Буркина-Фасо, Камерун, Центральноафриканская Республика, Чад, Коморские острова, Конго, Кот-д'Ивуар, Экваториальная Гвинея, Габон, Гвинея, Гвинея-Бисау, Мали, Мавритания, Нигер, Сенегал, Того).</w:t>
      </w:r>
    </w:p>
    <w:p w:rsidR="00A34BFF" w:rsidRPr="00A34BFF" w:rsidRDefault="00A34BFF" w:rsidP="00A34BFF">
      <w:pPr>
        <w:rPr>
          <w:b/>
          <w:bCs/>
        </w:rPr>
      </w:pPr>
    </w:p>
    <w:p w:rsidR="00A34BFF" w:rsidRPr="00A34BFF" w:rsidRDefault="00A34BFF" w:rsidP="00A34BFF">
      <w:pPr>
        <w:rPr>
          <w:b/>
          <w:bCs/>
        </w:rPr>
      </w:pPr>
      <w:r w:rsidRPr="00A34BFF">
        <w:rPr>
          <w:b/>
          <w:bCs/>
        </w:rPr>
        <w:t>II. Государства и межправительственные организации, которые инициировали процедуру присоединения к Конвенции УПОВ</w:t>
      </w:r>
    </w:p>
    <w:p w:rsidR="00A34BFF" w:rsidRPr="00A34BFF" w:rsidRDefault="00A34BFF" w:rsidP="00A34BFF">
      <w:proofErr w:type="gramStart"/>
      <w:r w:rsidRPr="00A34BFF">
        <w:t>Афганистан, Армения, Бруней-</w:t>
      </w:r>
      <w:proofErr w:type="spellStart"/>
      <w:r w:rsidRPr="00A34BFF">
        <w:t>Даруссалам</w:t>
      </w:r>
      <w:proofErr w:type="spellEnd"/>
      <w:r w:rsidRPr="00A34BFF">
        <w:t>, Венесуэла (</w:t>
      </w:r>
      <w:proofErr w:type="spellStart"/>
      <w:r w:rsidRPr="00A34BFF">
        <w:t>Боливарианская</w:t>
      </w:r>
      <w:proofErr w:type="spellEnd"/>
      <w:r w:rsidRPr="00A34BFF">
        <w:t xml:space="preserve"> Республика), Гана, Гватемала, Гондурас, Зимбабве, Индия, Иран (Исламская Республика), Казахстан, Маврикий, Малайзия, Монголия, Мьянма, Нигерия, Объединенные Арабские Эмираты, Сент-Винсент и Гренадины, Таджикистан, Филиппины, а также Африканская региональная организация интеллектуальной собственности (ARIPO).</w:t>
      </w:r>
      <w:proofErr w:type="gramEnd"/>
    </w:p>
    <w:p w:rsidR="00A34BFF" w:rsidRPr="00A34BFF" w:rsidRDefault="00A34BFF" w:rsidP="00A34BFF">
      <w:pPr>
        <w:rPr>
          <w:b/>
          <w:bCs/>
        </w:rPr>
      </w:pPr>
      <w:r w:rsidRPr="00A34BFF">
        <w:rPr>
          <w:b/>
          <w:bCs/>
        </w:rPr>
        <w:t>III. Государства и межправительственные организации, которые поддерживали связь с Бюро Союза по содействию в разработке законодательств на основе Конвенции УПОВ</w:t>
      </w:r>
    </w:p>
    <w:p w:rsidR="00A34BFF" w:rsidRPr="00A34BFF" w:rsidRDefault="00A34BFF" w:rsidP="00A34BFF">
      <w:proofErr w:type="gramStart"/>
      <w:r w:rsidRPr="00A34BFF">
        <w:t>Алжир, Бахрейн, Барбадос, Замбия, Индонезия, Ирак, Камбоджа, Кипр, Куба, Лаосская Народно-Демократическая Республика, Ливия, Лихтенштейн, Малави, Мозамбик, Намибия, Пакистан, Саудовская Аравия, Судан, Таиланд, Тонга, Туркменистан, Сальвадор, Ямайка, а также сообщество по вопросам развития стран Юга Африки (SADC).</w:t>
      </w:r>
      <w:proofErr w:type="gramEnd"/>
    </w:p>
    <w:p w:rsidR="00A34BFF" w:rsidRDefault="00A34BFF"/>
    <w:p w:rsidR="00A34BFF" w:rsidRDefault="00A34BFF"/>
    <w:p w:rsidR="00A34BFF" w:rsidRPr="00A34BFF" w:rsidRDefault="00A34BFF"/>
    <w:sectPr w:rsidR="00A34BFF" w:rsidRPr="00A34BFF" w:rsidSect="00A34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FF"/>
    <w:rsid w:val="001C08B7"/>
    <w:rsid w:val="00A34BFF"/>
    <w:rsid w:val="00D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2020-06-02T09:02:00Z</dcterms:created>
  <dcterms:modified xsi:type="dcterms:W3CDTF">2020-06-02T09:02:00Z</dcterms:modified>
</cp:coreProperties>
</file>